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sz w:val="48"/>
          <w:szCs w:val="48"/>
        </w:rPr>
        <w:t xml:space="preserve">AI-policy</w:t>
      </w:r>
    </w:p>
    <w:p>
      <w:pPr>
        <w:spacing w:after="200" w:before="0"/>
      </w:pPr>
      <w:r>
        <w:rPr>
          <w:rFonts w:ascii="Calibri" w:cs="Calibri" w:eastAsia="Calibri" w:hAnsi="Calibri"/>
          <w:color w:val="888888"/>
          <w:sz w:val="20"/>
          <w:szCs w:val="20"/>
        </w:rPr>
        <w:t xml:space="preserve">[Organisationens namn] · Version [X.X] · Datum [ÅÅÅÅ-MM-DD]</w:t>
      </w:r>
    </w:p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Syfte och scope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Vad syftar denna policy till att uppnå?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Vem omfattas av policyn? (t.ex. alla anställda, konsulter, underleverantörer)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Vilka AI-verktyg och system omfattas?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Godkända AI-verktyg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Lista de AI-verktyg som är godkända för användning i organisationen.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2183"/>
        <w:gridCol w:w="3492"/>
        <w:gridCol w:w="3056"/>
      </w:tblGrid>
      <w:tr>
        <w:trPr>
          <w:tblHeader/>
        </w:trPr>
        <w:tc>
          <w:tcPr>
            <w:tcW w:type="dxa" w:w="2183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Verktyg</w:t>
            </w:r>
          </w:p>
        </w:tc>
        <w:tc>
          <w:tcPr>
            <w:tcW w:type="dxa" w:w="3492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Tillåtet användningsfall</w:t>
            </w:r>
          </w:p>
        </w:tc>
        <w:tc>
          <w:tcPr>
            <w:tcW w:type="dxa" w:w="3056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Begränsningar</w:t>
            </w:r>
          </w:p>
        </w:tc>
      </w:tr>
      <w:tr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Process för att godkänna nya verktyg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Förbjuden användning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Specificera vad som inte är tillåtet. Anpassa efter er verksamhet.</w:t>
      </w:r>
    </w:p>
    <w:p>
      <w:pPr>
        <w:spacing w:after="80" w:before="1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✕  AI-genererat innehåll som presenteras som mänskligt utan upplysning</w:t>
      </w:r>
    </w:p>
    <w:p>
      <w:pPr>
        <w:spacing w:after="80" w:before="1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✕  Automatiserade beslut som väsentligt påverkar individer utan mänsklig granskning</w:t>
      </w:r>
    </w:p>
    <w:p>
      <w:pPr>
        <w:spacing w:after="80" w:before="1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✕  Inmatning av personuppgifter i icke-godkända AI-tjänster</w:t>
      </w:r>
    </w:p>
    <w:p>
      <w:pPr>
        <w:spacing w:after="80" w:before="1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✕  Inmatning av konfidentiell affärsinformation i externa AI-tjänster</w:t>
      </w:r>
    </w:p>
    <w:p>
      <w:pPr>
        <w:spacing w:after="80" w:before="1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✕  Användning av AI för diskriminering eller kränkning av individers rättigheter</w:t>
      </w:r>
    </w:p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Övriga förbud specifika för er organisation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Datahantering och dataskydd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Vilken data får INTE matas in i AI-verktyg?</w:t>
      </w:r>
    </w:p>
    <w:p>
      <w:pPr>
        <w:spacing w:after="60" w:before="100"/>
      </w:pPr>
      <w:r>
        <w:rPr>
          <w:rFonts w:ascii="Calibri" w:cs="Calibri" w:eastAsia="Calibri" w:hAnsi="Calibri"/>
          <w:sz w:val="20"/>
          <w:szCs w:val="20"/>
        </w:rPr>
        <w:t xml:space="preserve">☐  Personnummer och identitetsuppgifter</w:t>
      </w:r>
    </w:p>
    <w:p>
      <w:pPr>
        <w:spacing w:after="60" w:before="100"/>
      </w:pPr>
      <w:r>
        <w:rPr>
          <w:rFonts w:ascii="Calibri" w:cs="Calibri" w:eastAsia="Calibri" w:hAnsi="Calibri"/>
          <w:sz w:val="20"/>
          <w:szCs w:val="20"/>
        </w:rPr>
        <w:t xml:space="preserve">☐  Medicinska uppgifter om anställda eller kunder</w:t>
      </w:r>
    </w:p>
    <w:p>
      <w:pPr>
        <w:spacing w:after="60" w:before="100"/>
      </w:pPr>
      <w:r>
        <w:rPr>
          <w:rFonts w:ascii="Calibri" w:cs="Calibri" w:eastAsia="Calibri" w:hAnsi="Calibri"/>
          <w:sz w:val="20"/>
          <w:szCs w:val="20"/>
        </w:rPr>
        <w:t xml:space="preserve">☐  Kundavtal och konfidentiella affärsuppgifter</w:t>
      </w:r>
    </w:p>
    <w:p>
      <w:pPr>
        <w:spacing w:after="60" w:before="100"/>
      </w:pPr>
      <w:r>
        <w:rPr>
          <w:rFonts w:ascii="Calibri" w:cs="Calibri" w:eastAsia="Calibri" w:hAnsi="Calibri"/>
          <w:sz w:val="20"/>
          <w:szCs w:val="20"/>
        </w:rPr>
        <w:t xml:space="preserve">☐  Lösenord och åtkomstuppgifter</w:t>
      </w:r>
    </w:p>
    <w:p>
      <w:pPr>
        <w:spacing w:after="60" w:before="100"/>
      </w:pPr>
      <w:r>
        <w:rPr>
          <w:rFonts w:ascii="Calibri" w:cs="Calibri" w:eastAsia="Calibri" w:hAnsi="Calibri"/>
          <w:sz w:val="20"/>
          <w:szCs w:val="20"/>
        </w:rPr>
        <w:t xml:space="preserve">☐  Finansiell information under sekretess</w:t>
      </w:r>
    </w:p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Övriga datakategorier att skydda i er organisation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Krav på personuppgiftsbiträdesavtal (DPA) med AI-leverantörer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Principer och värderingar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Transparens — hur kommunicerar ni om AI-användning?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Ansvarsskyldighet — vem är ansvarig för AI-genererat output?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Rättvisa — hur motverkar ni diskriminering i AI-system?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Mänsklig granskning — vilka beslut kräver alltid en människa?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Ansvar och roller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2619"/>
        <w:gridCol w:w="2619"/>
        <w:gridCol w:w="3492"/>
      </w:tblGrid>
      <w:tr>
        <w:trPr>
          <w:tblHeader/>
        </w:trPr>
        <w:tc>
          <w:tcPr>
            <w:tcW w:type="dxa" w:w="2619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Roll</w:t>
            </w:r>
          </w:p>
        </w:tc>
        <w:tc>
          <w:tcPr>
            <w:tcW w:type="dxa" w:w="2619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Namn / funktion</w:t>
            </w:r>
          </w:p>
        </w:tc>
        <w:tc>
          <w:tcPr>
            <w:tcW w:type="dxa" w:w="3492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Ansvar</w:t>
            </w:r>
          </w:p>
        </w:tc>
      </w:tr>
      <w:tr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AI-ansvarig</w:t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IT-säkerhetsansvarig</w:t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Dataskyddsombud (DSO)</w:t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Linjechefer</w:t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Alla anställda</w:t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Incidenthantering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Hur rapporterar en anställd en incident eller misstänkt missbruk?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Vem tar emot incidentrapporter?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Konsekvenser vid överträdelse av policyn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Utbildning och kommunikation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Hur kommuniceras policyn till anställda?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Planerad utbildning (form, frekvens, ansvarig)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9. Uppdateringsrutin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Hur ofta ses policyn över?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Triggers för extra uppdatering (t.ex. ny EU AI Act-fas, nytt verktyg)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Datum för senaste uppdatering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ageBreakBefore/>
        <w:spacing w:after="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Checklista innan policyn publiceras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Syfte och scope är tydligt definierat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Godkända verktyg är listade med tillåtna användningsfall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Förbjuden användning är specificerad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Datakategorier som inte får delas med AI är listade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DPA-krav för AI-leverantörer är hanterade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Ansvarig person (AI-ansvarig) är utsedd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Incidenthanteringsprocess är definierad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Policyn är kommunicerad till alla anställda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Uppdateringsrutin är fastställd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EU AI Act-klassificering av era AI-system är genomförd</w:t>
      </w:r>
    </w:p>
    <w:p>
      <w:pPr>
        <w:spacing w:after="240" w:before="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417" w:right="1587" w:bottom="1417" w:left="158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/>
      </w:pBdr>
      <w:tabs>
        <w:tab w:val="right" w:pos="9184"/>
      </w:tabs>
      <w:spacing w:before="100"/>
    </w:pPr>
    <w:r>
      <w:rPr>
        <w:rFonts w:ascii="Calibri" w:cs="Calibri" w:eastAsia="Calibri" w:hAnsi="Calibri"/>
        <w:color w:val="AAAAAA"/>
        <w:sz w:val="16"/>
        <w:szCs w:val="16"/>
      </w:rPr>
      <w:t xml:space="preserve">Fiive AB · fiive.se</w:t>
    </w:r>
    <w:r>
      <w:rPr>
        <w:rFonts w:ascii="Calibri" w:cs="Calibri" w:eastAsia="Calibri" w:hAnsi="Calibri"/>
        <w:color w:val="AAAAAA"/>
        <w:sz w:val="16"/>
        <w:szCs w:val="16"/>
      </w:rPr>
      <w:t xml:space="preserve">	Sida </w:t>
    </w:r>
    <w:r>
      <w:rPr>
        <w:rFonts w:ascii="Calibri" w:cs="Calibri" w:eastAsia="Calibri" w:hAnsi="Calibri"/>
        <w:color w:val="AAAAA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/>
      </w:pBdr>
      <w:tabs>
        <w:tab w:val="right" w:pos="9184"/>
      </w:tabs>
      <w:spacing w:after="160"/>
    </w:pPr>
    <w:r>
      <w:rPr>
        <w:rFonts w:ascii="Calibri" w:cs="Calibri" w:eastAsia="Calibri" w:hAnsi="Calibri"/>
        <w:color w:val="666666"/>
        <w:sz w:val="20"/>
        <w:szCs w:val="20"/>
      </w:rPr>
      <w:t xml:space="preserve">AI-policy — Mall</w:t>
    </w:r>
    <w:r>
      <w:rPr>
        <w:rFonts w:ascii="Calibri" w:cs="Calibri" w:eastAsia="Calibri" w:hAnsi="Calibri"/>
        <w:color w:val="999999"/>
        <w:sz w:val="20"/>
        <w:szCs w:val="20"/>
      </w:rPr>
      <w:t xml:space="preserve">	fiive.se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2026-05-06T15:59:42.981Z</dcterms:created>
  <dcterms:modified xsi:type="dcterms:W3CDTF">2026-05-06T15:59:42.986Z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